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4B42C1" w:rsidRDefault="004B42C1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</w:pPr>
      <w:r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  <w:t>С</w:t>
      </w:r>
      <w:r w:rsidRPr="004B42C1"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  <w:t>ообщение о существенном факте о созыве общего собрания участников (акционеров)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4B42C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4B42C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 Общие сведения</w:t>
            </w:r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4B42C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 xml:space="preserve">Публичное </w:t>
            </w:r>
            <w:r w:rsidR="000E0A39" w:rsidRPr="004B42C1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4B42C1" w:rsidRDefault="002B1B1A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bookmarkStart w:id="0" w:name="_GoBack"/>
            <w:r w:rsidRPr="002B1B1A">
              <w:rPr>
                <w:rFonts w:asciiTheme="minorHAnsi" w:hAnsiTheme="minorHAnsi"/>
                <w:b/>
                <w:i/>
                <w:sz w:val="18"/>
                <w:szCs w:val="15"/>
              </w:rPr>
              <w:t xml:space="preserve">119049, город Москва, </w:t>
            </w:r>
            <w:proofErr w:type="spellStart"/>
            <w:r w:rsidRPr="002B1B1A">
              <w:rPr>
                <w:rFonts w:asciiTheme="minorHAnsi" w:hAnsiTheme="minorHAnsi"/>
                <w:b/>
                <w:i/>
                <w:sz w:val="18"/>
                <w:szCs w:val="15"/>
              </w:rPr>
              <w:t>вн.тер.г</w:t>
            </w:r>
            <w:proofErr w:type="spellEnd"/>
            <w:r w:rsidRPr="002B1B1A">
              <w:rPr>
                <w:rFonts w:asciiTheme="minorHAnsi" w:hAnsiTheme="minorHAnsi"/>
                <w:b/>
                <w:i/>
                <w:sz w:val="18"/>
                <w:szCs w:val="15"/>
              </w:rPr>
              <w:t>. муниципальный округ Якиманка, Ленинский проспект, дом 6, стр. 7</w:t>
            </w:r>
            <w:bookmarkEnd w:id="0"/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1.3</w:t>
            </w:r>
            <w:r w:rsidR="000E0A39"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4B42C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1127746391596</w:t>
            </w:r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1.4</w:t>
            </w:r>
            <w:r w:rsidR="000E0A39"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4B42C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7706774915</w:t>
            </w:r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 1.5. Уникальный код эмит</w:t>
            </w:r>
            <w:r w:rsidR="0071411A"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4B42C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15065-А</w:t>
            </w:r>
          </w:p>
        </w:tc>
      </w:tr>
      <w:tr w:rsidR="000E0A39" w:rsidRPr="004B42C1" w:rsidTr="007544BF">
        <w:trPr>
          <w:jc w:val="center"/>
        </w:trPr>
        <w:tc>
          <w:tcPr>
            <w:tcW w:w="5800" w:type="dxa"/>
          </w:tcPr>
          <w:p w:rsidR="000E0A39" w:rsidRPr="004B42C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1.6</w:t>
            </w:r>
            <w:r w:rsidR="000E0A39"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4B42C1" w:rsidRDefault="002B1B1A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hyperlink r:id="rId5" w:history="1">
              <w:r w:rsidR="000E0A39" w:rsidRPr="004B42C1">
                <w:rPr>
                  <w:rFonts w:asciiTheme="minorHAnsi" w:hAnsiTheme="minorHAnsi"/>
                  <w:b/>
                  <w:i/>
                  <w:color w:val="0000FF"/>
                  <w:sz w:val="18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4B42C1" w:rsidRDefault="002B1B1A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hyperlink r:id="rId6" w:history="1">
              <w:r w:rsidR="000E0A39" w:rsidRPr="004B42C1">
                <w:rPr>
                  <w:rFonts w:asciiTheme="minorHAnsi" w:hAnsiTheme="minorHAnsi"/>
                  <w:b/>
                  <w:i/>
                  <w:color w:val="0000FF"/>
                  <w:sz w:val="18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4B42C1" w:rsidTr="007544BF">
        <w:trPr>
          <w:jc w:val="center"/>
        </w:trPr>
        <w:tc>
          <w:tcPr>
            <w:tcW w:w="5800" w:type="dxa"/>
          </w:tcPr>
          <w:p w:rsidR="00A3764C" w:rsidRPr="004B42C1" w:rsidRDefault="00D61E88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4B42C1">
              <w:rPr>
                <w:rFonts w:asciiTheme="minorHAnsi" w:hAnsiTheme="minorHAnsi"/>
                <w:sz w:val="18"/>
                <w:szCs w:val="15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4B42C1" w:rsidRDefault="002E18E5" w:rsidP="00351A70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8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2</w:t>
            </w:r>
            <w:r w:rsidR="00351A70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8</w:t>
            </w:r>
            <w:r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.0</w:t>
            </w:r>
            <w:r w:rsidR="00351A70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3</w:t>
            </w:r>
            <w:r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.202</w:t>
            </w:r>
            <w:r w:rsidR="00351A70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5</w:t>
            </w:r>
          </w:p>
        </w:tc>
      </w:tr>
      <w:tr w:rsidR="000E0A39" w:rsidRPr="004B42C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4B42C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4B42C1">
              <w:rPr>
                <w:rFonts w:asciiTheme="minorHAnsi" w:hAnsiTheme="minorHAnsi"/>
                <w:sz w:val="18"/>
                <w:szCs w:val="15"/>
              </w:rPr>
              <w:t>2. Содержание сообщения</w:t>
            </w:r>
          </w:p>
        </w:tc>
      </w:tr>
      <w:tr w:rsidR="000E0A39" w:rsidRPr="004B42C1" w:rsidTr="00C1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2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12" w:rsidRPr="004B42C1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>2.1. вид общего собрания участников (акционеров) эмитента (годовое (очередное), внеочередное):</w:t>
            </w:r>
            <w:r w:rsidRPr="004B42C1">
              <w:rPr>
                <w:rFonts w:asciiTheme="minorHAnsi" w:eastAsiaTheme="minorHAnsi" w:hAnsiTheme="minorHAnsi"/>
                <w:b/>
                <w:i/>
                <w:sz w:val="16"/>
                <w:szCs w:val="17"/>
              </w:rPr>
              <w:t xml:space="preserve"> </w:t>
            </w:r>
            <w:r w:rsidR="00AC5438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годовое</w:t>
            </w:r>
            <w:r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.</w:t>
            </w:r>
          </w:p>
          <w:p w:rsidR="006167DA" w:rsidRPr="004B42C1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>2.2. форма проведения общего собрания участников (акционеров) эмитента (собрание (совместное присутствие) или заочное голосование):</w:t>
            </w:r>
          </w:p>
          <w:p w:rsidR="006167DA" w:rsidRPr="004B42C1" w:rsidRDefault="00351A70" w:rsidP="005E3F1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351A7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собрание (совместное присутствие). Способ принятия решения Общим собранием акционеров: заседание, голосование на котором совмещается с заочным голосованием.</w:t>
            </w:r>
          </w:p>
          <w:p w:rsidR="006167DA" w:rsidRPr="00C14557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</w:pPr>
            <w:r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2.3. дата, место, время проведения </w:t>
            </w:r>
            <w:r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</w:t>
            </w: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>формы бюллетеней на сайте в сети "Интернет" - также адрес сайта в сети "Интернет", на котором заполняются электронные формы бюллетеней для голосования:</w:t>
            </w:r>
          </w:p>
          <w:p w:rsidR="00351A70" w:rsidRPr="00C14557" w:rsidRDefault="00351A70" w:rsidP="00351A70">
            <w:pPr>
              <w:widowControl w:val="0"/>
              <w:adjustRightInd w:val="0"/>
              <w:ind w:left="113" w:right="204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1455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C14557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дата проведения заседания: </w:t>
            </w:r>
            <w:r w:rsidRPr="00C14557">
              <w:rPr>
                <w:rFonts w:asciiTheme="minorHAnsi" w:hAnsiTheme="minorHAnsi"/>
                <w:b/>
                <w:i/>
                <w:sz w:val="18"/>
                <w:szCs w:val="18"/>
              </w:rPr>
              <w:t>30 апреля 2025 года</w:t>
            </w:r>
            <w:r w:rsidR="002D7E4F"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51A70" w:rsidRPr="00C14557" w:rsidRDefault="00351A70" w:rsidP="00351A70">
            <w:pPr>
              <w:widowControl w:val="0"/>
              <w:adjustRightInd w:val="0"/>
              <w:ind w:left="113" w:right="204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14557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- место проведения заседания</w:t>
            </w:r>
            <w:r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2D7E4F"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682711, п. Солнечный, Хабаровский край, ул. Ленина, 27, 3 этаж, </w:t>
            </w:r>
            <w:proofErr w:type="spellStart"/>
            <w:r w:rsidR="002D7E4F"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 w:rsidR="002D7E4F"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. №331;</w:t>
            </w:r>
          </w:p>
          <w:p w:rsidR="00351A70" w:rsidRPr="00C14557" w:rsidRDefault="00351A70" w:rsidP="00351A70">
            <w:pPr>
              <w:widowControl w:val="0"/>
              <w:adjustRightInd w:val="0"/>
              <w:ind w:left="113" w:right="204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14557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>- время проведения заседания</w:t>
            </w:r>
            <w:r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: 08 часов </w:t>
            </w:r>
            <w:r w:rsidR="002D7E4F"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Pr="00C14557"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минут (по местному времени);</w:t>
            </w:r>
          </w:p>
          <w:p w:rsidR="00A2237A" w:rsidRPr="00C14557" w:rsidRDefault="00351A70" w:rsidP="00351A70">
            <w:pPr>
              <w:widowControl w:val="0"/>
              <w:adjustRightInd w:val="0"/>
              <w:ind w:left="113" w:right="204"/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  <w:r w:rsidRPr="00C14557">
              <w:rPr>
                <w:rFonts w:asciiTheme="minorHAnsi" w:hAnsiTheme="minorHAnsi"/>
                <w:i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C1455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почтовы</w:t>
            </w:r>
            <w:r w:rsidR="00A2237A" w:rsidRPr="00C1455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й</w:t>
            </w:r>
            <w:r w:rsidRPr="00C1455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 xml:space="preserve"> адрес</w:t>
            </w:r>
            <w:r w:rsidRPr="00C145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4557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для направления заполненных бюллетеней для голосования:</w:t>
            </w:r>
            <w:r w:rsidR="00A2237A" w:rsidRPr="00C145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2237A" w:rsidRPr="00C14557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 xml:space="preserve">119049, город Москва, </w:t>
            </w:r>
            <w:proofErr w:type="spellStart"/>
            <w:r w:rsidR="00A2237A" w:rsidRPr="00C14557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вн.тер.г</w:t>
            </w:r>
            <w:proofErr w:type="spellEnd"/>
            <w:r w:rsidR="00A2237A" w:rsidRPr="00C14557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. муниципальный округ Якиманка, Ленинский проспект, дом 6, стр. 7.</w:t>
            </w:r>
          </w:p>
          <w:p w:rsidR="00351A70" w:rsidRPr="00C14557" w:rsidRDefault="00351A70" w:rsidP="00351A70">
            <w:pPr>
              <w:widowControl w:val="0"/>
              <w:adjustRightInd w:val="0"/>
              <w:ind w:left="113" w:right="204"/>
              <w:jc w:val="both"/>
              <w:rPr>
                <w:rFonts w:asciiTheme="minorHAnsi" w:eastAsia="Calibri" w:hAnsiTheme="minorHAnsi"/>
                <w:b/>
                <w:i/>
                <w:sz w:val="18"/>
                <w:szCs w:val="18"/>
              </w:rPr>
            </w:pPr>
            <w:r w:rsidRPr="00C14557">
              <w:rPr>
                <w:rFonts w:asciiTheme="minorHAnsi" w:eastAsia="Calibri" w:hAnsiTheme="minorHAnsi"/>
                <w:b/>
                <w:i/>
                <w:sz w:val="18"/>
                <w:szCs w:val="18"/>
              </w:rPr>
              <w:t>При этом голосование может осуществляться также путем дачи лицам, осуществляющим учет прав на акции, указания (инструкции) о голосовании в соответствии с правилами законодательства Российской Федерации о ценных бумагах</w:t>
            </w:r>
          </w:p>
          <w:p w:rsidR="00351A70" w:rsidRPr="00C14557" w:rsidRDefault="00351A70" w:rsidP="00351A7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</w:pPr>
            <w:r w:rsidRPr="00C14557">
              <w:rPr>
                <w:rFonts w:asciiTheme="minorHAnsi" w:eastAsia="Calibri" w:hAnsiTheme="minorHAnsi"/>
                <w:sz w:val="18"/>
                <w:szCs w:val="18"/>
              </w:rPr>
              <w:t>- адрес сайта в сети "Интернет", на котором заполняются электронные формы бюллетеней для голосования:</w:t>
            </w:r>
            <w:r w:rsidRPr="00C1455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</w:t>
            </w:r>
            <w:hyperlink r:id="rId7" w:history="1">
              <w:r w:rsidRPr="00C14557">
                <w:rPr>
                  <w:rStyle w:val="a5"/>
                  <w:rFonts w:asciiTheme="minorHAnsi" w:eastAsiaTheme="minorHAnsi" w:hAnsiTheme="minorHAnsi" w:cs="Calibri"/>
                  <w:b/>
                  <w:bCs/>
                  <w:i/>
                  <w:sz w:val="18"/>
                  <w:szCs w:val="18"/>
                </w:rPr>
                <w:t>https://evoting.reggarant.ru/Voting/Lk</w:t>
              </w:r>
            </w:hyperlink>
            <w:r w:rsidRPr="00C14557">
              <w:rPr>
                <w:rStyle w:val="a5"/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.</w:t>
            </w:r>
          </w:p>
          <w:p w:rsidR="006167DA" w:rsidRPr="00C14557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</w:pP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="002D7E4F"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08 часов 00 минут (по местному времени)</w:t>
            </w:r>
            <w:r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.</w:t>
            </w:r>
          </w:p>
          <w:p w:rsidR="006167DA" w:rsidRPr="00C14557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</w:pP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2D7E4F"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27 апреля 2025 года</w:t>
            </w:r>
            <w:r w:rsidR="00F86AD0"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.</w:t>
            </w:r>
          </w:p>
          <w:p w:rsidR="006167DA" w:rsidRPr="00C14557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</w:pP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A2237A"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08 апреля 2025 года</w:t>
            </w:r>
            <w:r w:rsidR="00F86AD0" w:rsidRPr="00C14557">
              <w:rPr>
                <w:rFonts w:asciiTheme="minorHAnsi" w:eastAsiaTheme="minorHAnsi" w:hAnsiTheme="minorHAnsi" w:cs="Calibri"/>
                <w:b/>
                <w:bCs/>
                <w:i/>
                <w:sz w:val="18"/>
                <w:szCs w:val="18"/>
              </w:rPr>
              <w:t>.</w:t>
            </w: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 xml:space="preserve"> </w:t>
            </w:r>
          </w:p>
          <w:p w:rsidR="001409C7" w:rsidRPr="00C14557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</w:pPr>
            <w:r w:rsidRPr="00C14557">
              <w:rPr>
                <w:rFonts w:asciiTheme="minorHAnsi" w:eastAsiaTheme="minorHAnsi" w:hAnsiTheme="minorHAnsi" w:cs="Calibri"/>
                <w:bCs/>
                <w:sz w:val="18"/>
                <w:szCs w:val="18"/>
              </w:rPr>
              <w:t xml:space="preserve">2.7. повестка дня общего собрания участников (акционеров) эмитента: 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1.    Об утверждении годового отчета ПАО «Русолово» за 2024 год.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2.    Об утверждении годовой бухгалтерской (финансовой) отчетности ПАО «Русолово» за 2024 год.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3.   О распределении прибыли (в том числе выплате (объявлении) дивидендов) и убытков ПАО «Русолово» по результатам 2024 отчетного года.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4.    Об избрании членов Совета директоров ПАО «Русолово».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5.    Об избрании членов Ревизионной комиссии ПАО «Русолово».</w:t>
            </w:r>
          </w:p>
          <w:p w:rsidR="00A2237A" w:rsidRPr="00C14557" w:rsidRDefault="00A2237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</w:pPr>
            <w:r w:rsidRPr="00C14557">
              <w:rPr>
                <w:rFonts w:ascii="Calibri" w:eastAsiaTheme="minorHAnsi" w:hAnsi="Calibri" w:cs="Calibri"/>
                <w:b/>
                <w:bCs/>
                <w:i/>
                <w:iCs/>
                <w:sz w:val="18"/>
                <w:szCs w:val="18"/>
                <w:lang w:val="x-none"/>
              </w:rPr>
              <w:t>6.    О назначении аудиторской организации ПАО «Русолово».</w:t>
            </w:r>
          </w:p>
          <w:p w:rsidR="001409C7" w:rsidRPr="00C14557" w:rsidRDefault="006167DA" w:rsidP="00A2237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</w:t>
            </w:r>
            <w:r w:rsidR="005E3F12"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>торому с ней можно ознакомиться:</w:t>
            </w:r>
          </w:p>
          <w:p w:rsidR="00A2237A" w:rsidRPr="00C14557" w:rsidRDefault="00A2237A" w:rsidP="00A2237A">
            <w:pPr>
              <w:pStyle w:val="11"/>
              <w:tabs>
                <w:tab w:val="left" w:pos="438"/>
              </w:tabs>
              <w:spacing w:before="60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C14557">
              <w:rPr>
                <w:rFonts w:eastAsiaTheme="minorHAnsi" w:cs="Calibri"/>
                <w:b/>
                <w:bCs/>
                <w:i/>
                <w:sz w:val="18"/>
                <w:szCs w:val="18"/>
              </w:rPr>
              <w:t xml:space="preserve">– </w:t>
            </w:r>
            <w:r w:rsidRPr="00C14557">
              <w:rPr>
                <w:b/>
                <w:i/>
                <w:sz w:val="18"/>
                <w:szCs w:val="18"/>
              </w:rPr>
              <w:t xml:space="preserve">с 10 апреля 2025 года по 29 апреля 2025 года с 10 часов 00 минут до 17 часов 00 минут (время указано местное – по месту нахождения ПАО «Русолово»), за исключением выходных и праздничных дней, по адресу: </w:t>
            </w:r>
            <w:r w:rsidRPr="00C14557">
              <w:rPr>
                <w:b/>
                <w:bCs/>
                <w:i/>
                <w:iCs/>
                <w:sz w:val="18"/>
                <w:szCs w:val="18"/>
              </w:rPr>
              <w:t>г. Москва, ул. Василисы Кожиной, д. 1, секция 1</w:t>
            </w:r>
            <w:r w:rsidRPr="00C14557">
              <w:rPr>
                <w:b/>
                <w:i/>
                <w:sz w:val="18"/>
                <w:szCs w:val="18"/>
              </w:rPr>
              <w:t xml:space="preserve">, и непосредственно во время и </w:t>
            </w:r>
            <w:r w:rsidR="00647DD0" w:rsidRPr="00C14557">
              <w:rPr>
                <w:b/>
                <w:i/>
                <w:sz w:val="18"/>
                <w:szCs w:val="18"/>
              </w:rPr>
              <w:t>по адресу проведения заседания;</w:t>
            </w:r>
          </w:p>
          <w:p w:rsidR="00647DD0" w:rsidRPr="00C14557" w:rsidRDefault="00A2237A" w:rsidP="00647DD0">
            <w:pPr>
              <w:pStyle w:val="11"/>
              <w:tabs>
                <w:tab w:val="left" w:pos="438"/>
              </w:tabs>
              <w:spacing w:before="60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C14557">
              <w:rPr>
                <w:rFonts w:eastAsiaTheme="minorHAnsi" w:cs="Calibri"/>
                <w:b/>
                <w:bCs/>
                <w:i/>
                <w:sz w:val="18"/>
                <w:szCs w:val="18"/>
              </w:rPr>
              <w:t xml:space="preserve">– </w:t>
            </w:r>
            <w:r w:rsidRPr="00C14557">
              <w:rPr>
                <w:b/>
                <w:i/>
                <w:sz w:val="18"/>
                <w:szCs w:val="18"/>
              </w:rPr>
              <w:t>если зарегистрированным в реестре акционеров ПАО «Русолово» лицом является номинальный держатель акций, информация (материалы), подлежащая предоставлению при подготовке к проведению Собрания, в том числе бюллетень (текст бюллетеня) для голосования на Собрании, будут направляться в электронной форме (форме электронных документов) и предоставляться в соответствии с требованиями законодательства Российской Федерации о ценных бумагах для предоставления информации и материалов лицам, осуществ</w:t>
            </w:r>
            <w:r w:rsidR="00647DD0" w:rsidRPr="00C14557">
              <w:rPr>
                <w:b/>
                <w:i/>
                <w:sz w:val="18"/>
                <w:szCs w:val="18"/>
              </w:rPr>
              <w:t>ляющим права по ценным бумагам;</w:t>
            </w:r>
          </w:p>
          <w:p w:rsidR="00A2237A" w:rsidRPr="00C14557" w:rsidRDefault="00647DD0" w:rsidP="00647DD0">
            <w:pPr>
              <w:pStyle w:val="11"/>
              <w:tabs>
                <w:tab w:val="left" w:pos="438"/>
              </w:tabs>
              <w:spacing w:after="0" w:line="240" w:lineRule="auto"/>
              <w:ind w:left="0"/>
              <w:contextualSpacing w:val="0"/>
              <w:jc w:val="both"/>
              <w:rPr>
                <w:b/>
                <w:i/>
                <w:sz w:val="18"/>
                <w:szCs w:val="18"/>
              </w:rPr>
            </w:pPr>
            <w:r w:rsidRPr="00C14557">
              <w:rPr>
                <w:rFonts w:eastAsiaTheme="minorHAnsi" w:cs="Calibri"/>
                <w:b/>
                <w:bCs/>
                <w:i/>
                <w:sz w:val="18"/>
                <w:szCs w:val="18"/>
              </w:rPr>
              <w:t xml:space="preserve">– </w:t>
            </w:r>
            <w:r w:rsidR="00A2237A" w:rsidRPr="00C14557">
              <w:rPr>
                <w:b/>
                <w:i/>
                <w:sz w:val="18"/>
                <w:szCs w:val="18"/>
              </w:rPr>
              <w:t>на сайте ПАО «Русолово» в информационно-телекоммуникационной сети «Интернет» по адресу: https://rus-olovo.ru/ с учетом ограничений по раскрытию (предоставлению) информации, установленных постановлением Правительства Российской Федерации от 04.07.2023 № 1102.</w:t>
            </w:r>
          </w:p>
          <w:p w:rsidR="00F86AD0" w:rsidRDefault="006167DA" w:rsidP="00647D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</w:pPr>
            <w:r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2.9. </w:t>
            </w:r>
            <w:r w:rsidR="00F86AD0"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>идентификационные признаки ценных бумаг (акций, владельцы которых имеют право на участие в общем собрании акционеров эмитента</w:t>
            </w:r>
            <w:r w:rsidR="001515DA" w:rsidRPr="00C14557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): </w:t>
            </w:r>
            <w:r w:rsidR="001515DA" w:rsidRPr="00C14557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акции</w:t>
            </w:r>
            <w:r w:rsidR="00F86AD0" w:rsidRPr="00C14557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обыкновенные, количество акций, находящихся</w:t>
            </w:r>
            <w:r w:rsidR="00F86AD0" w:rsidRPr="00F86A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в обращении -  30 001 000 </w:t>
            </w:r>
            <w:r w:rsidR="008E2050" w:rsidRPr="00F86A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000 шт.</w:t>
            </w:r>
            <w:r w:rsidR="00F86AD0" w:rsidRPr="00F86A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, государственный регистрационный номер и дата выпуска - 1-01-15065-А от 13.08.2012 г., ISIN - RU000A0JU1B0, CFI – ESVXFR.</w:t>
            </w:r>
          </w:p>
          <w:p w:rsidR="005E3F12" w:rsidRPr="004B42C1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>2.10. 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</w:t>
            </w:r>
            <w:r w:rsidR="005E3F12"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тором принято указанное решение: </w:t>
            </w:r>
            <w:r w:rsidR="005E3F12"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решение </w:t>
            </w:r>
            <w:r w:rsidR="00523A3B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принято Советом</w:t>
            </w:r>
            <w:r w:rsidR="005E3F12"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директоров</w:t>
            </w:r>
            <w:r w:rsidR="004F7D69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ПАО «Русолово»</w:t>
            </w:r>
            <w:r w:rsidR="005E3F12"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2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8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.0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3.2025 </w:t>
            </w:r>
            <w:r w:rsidR="00CB5A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(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протокол № 04/202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5</w:t>
            </w:r>
            <w:r w:rsidR="00F86A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-СД</w:t>
            </w:r>
            <w:r w:rsidR="00006B3E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 xml:space="preserve"> от 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2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8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.0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3</w:t>
            </w:r>
            <w:r w:rsidR="002E18E5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.202</w:t>
            </w:r>
            <w:r w:rsidR="00647DD0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5</w:t>
            </w:r>
            <w:r w:rsidR="005E3F12"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).</w:t>
            </w:r>
          </w:p>
          <w:p w:rsidR="00995C4C" w:rsidRPr="004B42C1" w:rsidRDefault="006167DA" w:rsidP="005E3F1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/>
                <w:sz w:val="18"/>
                <w:szCs w:val="18"/>
              </w:rPr>
            </w:pPr>
            <w:r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lastRenderedPageBreak/>
              <w:t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</w:t>
            </w:r>
            <w:r w:rsidR="005E3F12" w:rsidRPr="004B42C1">
              <w:rPr>
                <w:rFonts w:ascii="Calibri" w:eastAsiaTheme="minorHAnsi" w:hAnsi="Calibri" w:cs="Calibri"/>
                <w:bCs/>
                <w:sz w:val="18"/>
                <w:szCs w:val="18"/>
              </w:rPr>
              <w:t xml:space="preserve">ится во исполнение решения суда: </w:t>
            </w:r>
            <w:r w:rsidR="005E3F12" w:rsidRPr="004B42C1">
              <w:rPr>
                <w:rFonts w:ascii="Calibri" w:eastAsiaTheme="minorHAnsi" w:hAnsi="Calibri" w:cs="Calibri"/>
                <w:b/>
                <w:bCs/>
                <w:i/>
                <w:sz w:val="18"/>
                <w:szCs w:val="18"/>
              </w:rPr>
              <w:t>не применимо.</w:t>
            </w:r>
          </w:p>
        </w:tc>
      </w:tr>
      <w:tr w:rsidR="000E0A39" w:rsidRPr="004B42C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4B42C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4B42C1">
              <w:rPr>
                <w:rFonts w:asciiTheme="minorHAnsi" w:hAnsiTheme="minorHAnsi"/>
                <w:sz w:val="18"/>
                <w:szCs w:val="15"/>
              </w:rPr>
              <w:lastRenderedPageBreak/>
              <w:t>3. Подпись</w:t>
            </w:r>
          </w:p>
        </w:tc>
      </w:tr>
      <w:tr w:rsidR="000E0A39" w:rsidRPr="004B42C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6" w:rsidRPr="001178D6" w:rsidRDefault="001178D6" w:rsidP="00117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1178D6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3.1. Начальник отдела корпоративного управления – корпоративный секретарь</w:t>
            </w:r>
          </w:p>
          <w:p w:rsidR="001178D6" w:rsidRPr="001178D6" w:rsidRDefault="001178D6" w:rsidP="00117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1178D6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22</w:t>
            </w:r>
            <w:r w:rsidRPr="001178D6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.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05</w:t>
            </w:r>
            <w:r w:rsidRPr="001178D6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.202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4</w:t>
            </w:r>
            <w:r w:rsidRPr="001178D6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)</w:t>
            </w:r>
          </w:p>
          <w:p w:rsidR="00BB68D6" w:rsidRPr="004B42C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</w:p>
          <w:p w:rsidR="00374A7A" w:rsidRPr="004B42C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                                                                                          ____________</w:t>
            </w:r>
            <w:r w:rsidR="00C14557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____</w:t>
            </w:r>
            <w:r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_             </w:t>
            </w:r>
            <w:r w:rsidR="002E18E5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Попова</w:t>
            </w:r>
            <w:r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Е.Г.</w:t>
            </w:r>
          </w:p>
          <w:p w:rsidR="000E0A39" w:rsidRPr="004B42C1" w:rsidRDefault="002E18E5" w:rsidP="00647DD0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3.2. «2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8</w:t>
            </w:r>
            <w:r w:rsidR="00374A7A"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» </w:t>
            </w: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ма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рта</w:t>
            </w: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202</w:t>
            </w:r>
            <w:r w:rsidR="00647D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5</w:t>
            </w: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</w:t>
            </w:r>
            <w:r w:rsidR="00C14557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года</w:t>
            </w: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</w:t>
            </w:r>
            <w:r w:rsidR="00374A7A"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                                                             </w:t>
            </w:r>
            <w:r w:rsidR="00F86AD0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  </w:t>
            </w:r>
            <w:r w:rsidR="00374A7A"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</w:t>
            </w:r>
            <w:r w:rsidR="00BB68D6"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        </w:t>
            </w:r>
            <w:r w:rsidR="00374A7A" w:rsidRPr="004B42C1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4B42C1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4B42C1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02DA"/>
    <w:multiLevelType w:val="hybridMultilevel"/>
    <w:tmpl w:val="3C641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3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5"/>
  </w:num>
  <w:num w:numId="21">
    <w:abstractNumId w:val="3"/>
  </w:num>
  <w:num w:numId="22">
    <w:abstractNumId w:val="24"/>
  </w:num>
  <w:num w:numId="23">
    <w:abstractNumId w:val="8"/>
  </w:num>
  <w:num w:numId="24">
    <w:abstractNumId w:val="15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06B3E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2E79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1178D6"/>
    <w:rsid w:val="001220E6"/>
    <w:rsid w:val="00136A34"/>
    <w:rsid w:val="0014055B"/>
    <w:rsid w:val="001409C7"/>
    <w:rsid w:val="001515DA"/>
    <w:rsid w:val="00154A15"/>
    <w:rsid w:val="00155BCE"/>
    <w:rsid w:val="00167F61"/>
    <w:rsid w:val="001710B0"/>
    <w:rsid w:val="00175507"/>
    <w:rsid w:val="001A70B5"/>
    <w:rsid w:val="001B2614"/>
    <w:rsid w:val="001D6B75"/>
    <w:rsid w:val="00210765"/>
    <w:rsid w:val="00215306"/>
    <w:rsid w:val="0023191C"/>
    <w:rsid w:val="00233282"/>
    <w:rsid w:val="0023488E"/>
    <w:rsid w:val="0023601B"/>
    <w:rsid w:val="00240700"/>
    <w:rsid w:val="002539DC"/>
    <w:rsid w:val="00263681"/>
    <w:rsid w:val="0026541F"/>
    <w:rsid w:val="00267EBB"/>
    <w:rsid w:val="002842B0"/>
    <w:rsid w:val="002923AF"/>
    <w:rsid w:val="00294209"/>
    <w:rsid w:val="002A0E40"/>
    <w:rsid w:val="002B1B1A"/>
    <w:rsid w:val="002B5A2D"/>
    <w:rsid w:val="002C5525"/>
    <w:rsid w:val="002C7566"/>
    <w:rsid w:val="002D1A5C"/>
    <w:rsid w:val="002D56DC"/>
    <w:rsid w:val="002D7E4F"/>
    <w:rsid w:val="002E18E5"/>
    <w:rsid w:val="002E464B"/>
    <w:rsid w:val="002F074A"/>
    <w:rsid w:val="00303974"/>
    <w:rsid w:val="00314D13"/>
    <w:rsid w:val="00337111"/>
    <w:rsid w:val="00350407"/>
    <w:rsid w:val="00351A70"/>
    <w:rsid w:val="00363F18"/>
    <w:rsid w:val="003653A0"/>
    <w:rsid w:val="00374A7A"/>
    <w:rsid w:val="00375216"/>
    <w:rsid w:val="003D161D"/>
    <w:rsid w:val="003D7542"/>
    <w:rsid w:val="003F5C52"/>
    <w:rsid w:val="004013F8"/>
    <w:rsid w:val="0042171A"/>
    <w:rsid w:val="0042331D"/>
    <w:rsid w:val="004275F9"/>
    <w:rsid w:val="00431F69"/>
    <w:rsid w:val="004467A7"/>
    <w:rsid w:val="00451BC2"/>
    <w:rsid w:val="004815FD"/>
    <w:rsid w:val="004A3BC3"/>
    <w:rsid w:val="004B2EE7"/>
    <w:rsid w:val="004B42C1"/>
    <w:rsid w:val="004E0633"/>
    <w:rsid w:val="004E4299"/>
    <w:rsid w:val="004F0E8A"/>
    <w:rsid w:val="004F7D69"/>
    <w:rsid w:val="005067F6"/>
    <w:rsid w:val="00523A3B"/>
    <w:rsid w:val="005348EC"/>
    <w:rsid w:val="00536404"/>
    <w:rsid w:val="00555E75"/>
    <w:rsid w:val="00580BE4"/>
    <w:rsid w:val="00586C3C"/>
    <w:rsid w:val="005906A7"/>
    <w:rsid w:val="00591AD1"/>
    <w:rsid w:val="005B03D7"/>
    <w:rsid w:val="005C5BFC"/>
    <w:rsid w:val="005D45FD"/>
    <w:rsid w:val="005D62FC"/>
    <w:rsid w:val="005D7290"/>
    <w:rsid w:val="005E1ED0"/>
    <w:rsid w:val="005E3F12"/>
    <w:rsid w:val="005F3E38"/>
    <w:rsid w:val="0060145E"/>
    <w:rsid w:val="0060317C"/>
    <w:rsid w:val="0060778C"/>
    <w:rsid w:val="006167DA"/>
    <w:rsid w:val="006175B6"/>
    <w:rsid w:val="00617A49"/>
    <w:rsid w:val="00647DD0"/>
    <w:rsid w:val="00656E65"/>
    <w:rsid w:val="00663BFC"/>
    <w:rsid w:val="00671FCF"/>
    <w:rsid w:val="00697AE1"/>
    <w:rsid w:val="006B358C"/>
    <w:rsid w:val="006F05DD"/>
    <w:rsid w:val="0071411A"/>
    <w:rsid w:val="007173C5"/>
    <w:rsid w:val="0073208C"/>
    <w:rsid w:val="007350A8"/>
    <w:rsid w:val="007363DA"/>
    <w:rsid w:val="007544BF"/>
    <w:rsid w:val="00781CDA"/>
    <w:rsid w:val="007957B3"/>
    <w:rsid w:val="007A3557"/>
    <w:rsid w:val="007A7421"/>
    <w:rsid w:val="007B3302"/>
    <w:rsid w:val="007C0A48"/>
    <w:rsid w:val="007D5A52"/>
    <w:rsid w:val="007F78EE"/>
    <w:rsid w:val="00813D07"/>
    <w:rsid w:val="00815FCE"/>
    <w:rsid w:val="0083189A"/>
    <w:rsid w:val="008349E2"/>
    <w:rsid w:val="008468C7"/>
    <w:rsid w:val="00854C86"/>
    <w:rsid w:val="008B01D3"/>
    <w:rsid w:val="008B6D1E"/>
    <w:rsid w:val="008D4330"/>
    <w:rsid w:val="008E2050"/>
    <w:rsid w:val="008F1CA7"/>
    <w:rsid w:val="008F6037"/>
    <w:rsid w:val="00907295"/>
    <w:rsid w:val="00912E53"/>
    <w:rsid w:val="00914785"/>
    <w:rsid w:val="009261DB"/>
    <w:rsid w:val="00952809"/>
    <w:rsid w:val="00977960"/>
    <w:rsid w:val="009842F8"/>
    <w:rsid w:val="00993442"/>
    <w:rsid w:val="00995C4C"/>
    <w:rsid w:val="009A5773"/>
    <w:rsid w:val="009B11CF"/>
    <w:rsid w:val="009D2989"/>
    <w:rsid w:val="009E0B48"/>
    <w:rsid w:val="009E6F3C"/>
    <w:rsid w:val="009F36B3"/>
    <w:rsid w:val="009F3D30"/>
    <w:rsid w:val="009F7FB7"/>
    <w:rsid w:val="00A2237A"/>
    <w:rsid w:val="00A34BA0"/>
    <w:rsid w:val="00A3764C"/>
    <w:rsid w:val="00A438B3"/>
    <w:rsid w:val="00A442A4"/>
    <w:rsid w:val="00A55F7A"/>
    <w:rsid w:val="00A56779"/>
    <w:rsid w:val="00A60EB5"/>
    <w:rsid w:val="00A63F60"/>
    <w:rsid w:val="00A94EB2"/>
    <w:rsid w:val="00AA0A50"/>
    <w:rsid w:val="00AA25A0"/>
    <w:rsid w:val="00AB0324"/>
    <w:rsid w:val="00AC0B3C"/>
    <w:rsid w:val="00AC5438"/>
    <w:rsid w:val="00AE6535"/>
    <w:rsid w:val="00AE7450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A5E6E"/>
    <w:rsid w:val="00BB68D6"/>
    <w:rsid w:val="00BB6D9F"/>
    <w:rsid w:val="00BD03A9"/>
    <w:rsid w:val="00BD4992"/>
    <w:rsid w:val="00C01A2C"/>
    <w:rsid w:val="00C14557"/>
    <w:rsid w:val="00C169C9"/>
    <w:rsid w:val="00C455C0"/>
    <w:rsid w:val="00C601CC"/>
    <w:rsid w:val="00C60237"/>
    <w:rsid w:val="00C61D41"/>
    <w:rsid w:val="00C709A8"/>
    <w:rsid w:val="00C70FE4"/>
    <w:rsid w:val="00C771A6"/>
    <w:rsid w:val="00C86259"/>
    <w:rsid w:val="00C8660C"/>
    <w:rsid w:val="00C86F0F"/>
    <w:rsid w:val="00C91672"/>
    <w:rsid w:val="00CA5251"/>
    <w:rsid w:val="00CA6C4E"/>
    <w:rsid w:val="00CB5AD0"/>
    <w:rsid w:val="00CD434B"/>
    <w:rsid w:val="00CD7102"/>
    <w:rsid w:val="00CF25FD"/>
    <w:rsid w:val="00CF46D8"/>
    <w:rsid w:val="00D03E04"/>
    <w:rsid w:val="00D15436"/>
    <w:rsid w:val="00D23E9C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C5CEE"/>
    <w:rsid w:val="00DD21E9"/>
    <w:rsid w:val="00DD4FEE"/>
    <w:rsid w:val="00DE5806"/>
    <w:rsid w:val="00E07112"/>
    <w:rsid w:val="00E12553"/>
    <w:rsid w:val="00E133C1"/>
    <w:rsid w:val="00E22C1B"/>
    <w:rsid w:val="00E26652"/>
    <w:rsid w:val="00E367E8"/>
    <w:rsid w:val="00E36DD7"/>
    <w:rsid w:val="00E518A8"/>
    <w:rsid w:val="00E60A46"/>
    <w:rsid w:val="00E619DC"/>
    <w:rsid w:val="00E75745"/>
    <w:rsid w:val="00EA1422"/>
    <w:rsid w:val="00EB2C0F"/>
    <w:rsid w:val="00ED14D2"/>
    <w:rsid w:val="00EF50BA"/>
    <w:rsid w:val="00F01102"/>
    <w:rsid w:val="00F0468D"/>
    <w:rsid w:val="00F24427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6AD0"/>
    <w:rsid w:val="00F93619"/>
    <w:rsid w:val="00FA1E47"/>
    <w:rsid w:val="00FA2EF2"/>
    <w:rsid w:val="00FC51CB"/>
    <w:rsid w:val="00FE285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A22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oting.reggarant.ru/Voting/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Дмитриева Александра Юрьевна</cp:lastModifiedBy>
  <cp:revision>3</cp:revision>
  <cp:lastPrinted>2021-03-19T12:44:00Z</cp:lastPrinted>
  <dcterms:created xsi:type="dcterms:W3CDTF">2025-03-28T11:15:00Z</dcterms:created>
  <dcterms:modified xsi:type="dcterms:W3CDTF">2025-03-28T11:26:00Z</dcterms:modified>
</cp:coreProperties>
</file>